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BA5FB" w14:textId="12176BE9" w:rsidR="00A94476" w:rsidRPr="00EF3676" w:rsidRDefault="00F05C07" w:rsidP="00EF367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ADDENDUM #</w:t>
      </w:r>
      <w:r w:rsidR="00E808BE">
        <w:rPr>
          <w:b/>
          <w:sz w:val="24"/>
          <w:szCs w:val="24"/>
        </w:rPr>
        <w:t>2</w:t>
      </w:r>
    </w:p>
    <w:p w14:paraId="655B5118" w14:textId="77777777" w:rsidR="00EF3676" w:rsidRPr="00EF3676" w:rsidRDefault="00EF3676" w:rsidP="00EF3676">
      <w:pPr>
        <w:spacing w:after="0" w:line="240" w:lineRule="auto"/>
        <w:jc w:val="center"/>
        <w:rPr>
          <w:b/>
          <w:sz w:val="24"/>
          <w:szCs w:val="24"/>
        </w:rPr>
      </w:pPr>
    </w:p>
    <w:p w14:paraId="7B42E76C" w14:textId="77777777" w:rsidR="00EF3676" w:rsidRPr="00EF3676" w:rsidRDefault="00EF3676" w:rsidP="00EF3676">
      <w:pPr>
        <w:spacing w:after="0" w:line="240" w:lineRule="auto"/>
        <w:jc w:val="center"/>
        <w:rPr>
          <w:b/>
          <w:sz w:val="24"/>
          <w:szCs w:val="24"/>
        </w:rPr>
      </w:pPr>
      <w:r w:rsidRPr="00EF3676">
        <w:rPr>
          <w:b/>
          <w:sz w:val="24"/>
          <w:szCs w:val="24"/>
        </w:rPr>
        <w:t>FILLMORE UNIFIED SCHOOL DISTRICT</w:t>
      </w:r>
    </w:p>
    <w:p w14:paraId="12A249CE" w14:textId="76F6228C" w:rsidR="006E5A98" w:rsidRDefault="00EF3676" w:rsidP="006E5A98">
      <w:pPr>
        <w:spacing w:after="0" w:line="240" w:lineRule="auto"/>
        <w:jc w:val="center"/>
        <w:rPr>
          <w:b/>
          <w:sz w:val="16"/>
          <w:szCs w:val="16"/>
        </w:rPr>
      </w:pPr>
      <w:r w:rsidRPr="00EF3676">
        <w:rPr>
          <w:b/>
          <w:sz w:val="24"/>
          <w:szCs w:val="24"/>
        </w:rPr>
        <w:t>FILLMORE, CA</w:t>
      </w:r>
    </w:p>
    <w:p w14:paraId="00FB4227" w14:textId="77777777" w:rsidR="006E5A98" w:rsidRPr="006E5A98" w:rsidRDefault="006E5A98" w:rsidP="006E5A98">
      <w:pPr>
        <w:spacing w:after="0" w:line="240" w:lineRule="auto"/>
        <w:jc w:val="center"/>
        <w:rPr>
          <w:b/>
          <w:sz w:val="16"/>
          <w:szCs w:val="16"/>
        </w:rPr>
      </w:pPr>
    </w:p>
    <w:p w14:paraId="6BCEBCD7" w14:textId="29D99303" w:rsidR="002256DE" w:rsidRDefault="00AF773F" w:rsidP="006E5A98">
      <w:pPr>
        <w:spacing w:after="0" w:line="240" w:lineRule="auto"/>
        <w:jc w:val="center"/>
        <w:rPr>
          <w:b/>
          <w:sz w:val="16"/>
          <w:szCs w:val="16"/>
        </w:rPr>
      </w:pPr>
      <w:r>
        <w:rPr>
          <w:b/>
          <w:sz w:val="24"/>
          <w:szCs w:val="24"/>
        </w:rPr>
        <w:t xml:space="preserve">January </w:t>
      </w:r>
      <w:r w:rsidR="00E808BE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>, 2025</w:t>
      </w:r>
    </w:p>
    <w:p w14:paraId="35F51C3F" w14:textId="77777777" w:rsidR="006E5A98" w:rsidRPr="006E5A98" w:rsidRDefault="006E5A98" w:rsidP="006E5A98">
      <w:pPr>
        <w:spacing w:after="0" w:line="240" w:lineRule="auto"/>
        <w:jc w:val="center"/>
        <w:rPr>
          <w:b/>
          <w:sz w:val="16"/>
          <w:szCs w:val="16"/>
        </w:rPr>
      </w:pPr>
    </w:p>
    <w:p w14:paraId="266DB4CD" w14:textId="0CEA797C" w:rsidR="00EF3676" w:rsidRPr="002256DE" w:rsidRDefault="002256DE" w:rsidP="006E5A98">
      <w:pPr>
        <w:spacing w:after="0" w:line="240" w:lineRule="auto"/>
        <w:jc w:val="center"/>
        <w:rPr>
          <w:sz w:val="24"/>
          <w:szCs w:val="24"/>
        </w:rPr>
      </w:pPr>
      <w:r w:rsidRPr="002256DE">
        <w:rPr>
          <w:b/>
          <w:bCs/>
          <w:sz w:val="24"/>
          <w:szCs w:val="24"/>
        </w:rPr>
        <w:t>Project No. 2024-017 / DSA Application No. #03-123950</w:t>
      </w:r>
      <w:r>
        <w:rPr>
          <w:b/>
          <w:bCs/>
          <w:sz w:val="24"/>
          <w:szCs w:val="24"/>
        </w:rPr>
        <w:t xml:space="preserve"> – FHS Athletic Complex</w:t>
      </w:r>
    </w:p>
    <w:p w14:paraId="732D7E0C" w14:textId="77777777" w:rsidR="002256DE" w:rsidRPr="002256DE" w:rsidRDefault="002256DE" w:rsidP="002256DE">
      <w:pPr>
        <w:kinsoku w:val="0"/>
        <w:overflowPunct w:val="0"/>
        <w:autoSpaceDE w:val="0"/>
        <w:autoSpaceDN w:val="0"/>
        <w:adjustRightInd w:val="0"/>
        <w:spacing w:after="0" w:line="399" w:lineRule="exact"/>
        <w:ind w:left="61" w:right="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6DE">
        <w:rPr>
          <w:rFonts w:ascii="Times New Roman" w:hAnsi="Times New Roman" w:cs="Times New Roman"/>
          <w:b/>
          <w:bCs/>
          <w:sz w:val="24"/>
          <w:szCs w:val="24"/>
          <w:u w:val="single"/>
        </w:rPr>
        <w:t>Add Alternates:</w:t>
      </w:r>
    </w:p>
    <w:p w14:paraId="3349769D" w14:textId="77777777" w:rsidR="002256DE" w:rsidRPr="002256DE" w:rsidRDefault="002256DE" w:rsidP="002256DE">
      <w:pPr>
        <w:kinsoku w:val="0"/>
        <w:overflowPunct w:val="0"/>
        <w:autoSpaceDE w:val="0"/>
        <w:autoSpaceDN w:val="0"/>
        <w:adjustRightInd w:val="0"/>
        <w:spacing w:before="41" w:after="0" w:line="309" w:lineRule="auto"/>
        <w:ind w:right="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6DE">
        <w:rPr>
          <w:rFonts w:ascii="Times New Roman" w:hAnsi="Times New Roman" w:cs="Times New Roman"/>
          <w:b/>
          <w:bCs/>
          <w:sz w:val="24"/>
          <w:szCs w:val="24"/>
        </w:rPr>
        <w:t>Alternate #1 – Gym Modernization – Bldg. 12 locker rooms Project No. 2024-018 / DSA #03-123955</w:t>
      </w:r>
    </w:p>
    <w:p w14:paraId="5456F4AE" w14:textId="74548F83" w:rsidR="00DD138B" w:rsidRPr="006E5A98" w:rsidRDefault="002256DE" w:rsidP="006E5A98">
      <w:pPr>
        <w:kinsoku w:val="0"/>
        <w:overflowPunct w:val="0"/>
        <w:autoSpaceDE w:val="0"/>
        <w:autoSpaceDN w:val="0"/>
        <w:adjustRightInd w:val="0"/>
        <w:spacing w:after="0" w:line="309" w:lineRule="auto"/>
        <w:ind w:right="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6DE">
        <w:rPr>
          <w:rFonts w:ascii="Times New Roman" w:hAnsi="Times New Roman" w:cs="Times New Roman"/>
          <w:b/>
          <w:bCs/>
          <w:sz w:val="24"/>
          <w:szCs w:val="24"/>
        </w:rPr>
        <w:t>Alternate #2 – FHS Mod. – Cafeteria, Shade &amp; Library Project No. 2024-024 / DSA #03-121233</w:t>
      </w:r>
    </w:p>
    <w:p w14:paraId="3EEE36CF" w14:textId="0FBA44E4" w:rsidR="00EF3676" w:rsidRDefault="00EF3676" w:rsidP="00EF3676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53B96FB3" w14:textId="77777777" w:rsidR="00EF3676" w:rsidRDefault="00EF3676" w:rsidP="00EF3676">
      <w:pPr>
        <w:spacing w:after="0" w:line="240" w:lineRule="auto"/>
        <w:rPr>
          <w:sz w:val="24"/>
          <w:szCs w:val="24"/>
        </w:rPr>
      </w:pPr>
    </w:p>
    <w:p w14:paraId="065A33B4" w14:textId="1749620C" w:rsidR="00E808BE" w:rsidRDefault="00EF3676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This Addendum</w:t>
      </w:r>
      <w:r w:rsidR="00E808BE">
        <w:rPr>
          <w:sz w:val="24"/>
          <w:szCs w:val="24"/>
        </w:rPr>
        <w:t xml:space="preserve"> provides</w:t>
      </w:r>
      <w:r w:rsidR="003A0A4E">
        <w:rPr>
          <w:sz w:val="24"/>
          <w:szCs w:val="24"/>
        </w:rPr>
        <w:t xml:space="preserve"> Clarification to the “Prequalification of bidders”</w:t>
      </w:r>
      <w:r w:rsidR="00E808BE">
        <w:rPr>
          <w:sz w:val="24"/>
          <w:szCs w:val="24"/>
        </w:rPr>
        <w:t>:</w:t>
      </w:r>
    </w:p>
    <w:p w14:paraId="6A41E862" w14:textId="77777777" w:rsidR="00E808BE" w:rsidRDefault="00E808BE" w:rsidP="00EF367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808BE">
        <w:rPr>
          <w:sz w:val="24"/>
          <w:szCs w:val="24"/>
        </w:rPr>
        <w:t>Answers to Pre-bid questions received in “Round 1” questions</w:t>
      </w:r>
      <w:r w:rsidR="007A429F" w:rsidRPr="00E808BE">
        <w:rPr>
          <w:sz w:val="24"/>
          <w:szCs w:val="24"/>
        </w:rPr>
        <w:t xml:space="preserve">.  </w:t>
      </w:r>
    </w:p>
    <w:p w14:paraId="2608A28E" w14:textId="66C9DAF4" w:rsidR="00E808BE" w:rsidRDefault="00E808BE" w:rsidP="00EF367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="005E11B1" w:rsidRPr="00E808BE">
        <w:rPr>
          <w:sz w:val="24"/>
          <w:szCs w:val="24"/>
        </w:rPr>
        <w:t xml:space="preserve">larify the Prequalification </w:t>
      </w:r>
      <w:r>
        <w:rPr>
          <w:sz w:val="24"/>
          <w:szCs w:val="24"/>
        </w:rPr>
        <w:t>requirements</w:t>
      </w:r>
      <w:r w:rsidR="003A0A4E">
        <w:rPr>
          <w:sz w:val="24"/>
          <w:szCs w:val="24"/>
        </w:rPr>
        <w:t xml:space="preserve"> for GC/Prime bidders.</w:t>
      </w:r>
    </w:p>
    <w:p w14:paraId="0B00B9FF" w14:textId="0B9324FB" w:rsidR="00E808BE" w:rsidRDefault="00E808BE" w:rsidP="00E808BE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General contractors/Prime bidders must satisfy </w:t>
      </w:r>
      <w:r w:rsidRPr="003A0A4E">
        <w:rPr>
          <w:sz w:val="24"/>
          <w:szCs w:val="24"/>
          <w:highlight w:val="yellow"/>
        </w:rPr>
        <w:t xml:space="preserve">all </w:t>
      </w:r>
      <w:r w:rsidR="006E5A98">
        <w:rPr>
          <w:sz w:val="24"/>
          <w:szCs w:val="24"/>
          <w:highlight w:val="yellow"/>
        </w:rPr>
        <w:t xml:space="preserve">3 </w:t>
      </w:r>
      <w:r w:rsidRPr="003A0A4E">
        <w:rPr>
          <w:sz w:val="24"/>
          <w:szCs w:val="24"/>
          <w:highlight w:val="yellow"/>
        </w:rPr>
        <w:t>requirements</w:t>
      </w:r>
      <w:r w:rsidR="006E5A98">
        <w:rPr>
          <w:sz w:val="24"/>
          <w:szCs w:val="24"/>
        </w:rPr>
        <w:t xml:space="preserve"> for Level 3 projects prior to the setting of the actual bid limit noted in Item 4, shed by the letter of bondability.</w:t>
      </w:r>
    </w:p>
    <w:p w14:paraId="02AA174E" w14:textId="5DC7819D" w:rsidR="003A0A4E" w:rsidRDefault="00E808BE" w:rsidP="003A0A4E">
      <w:pPr>
        <w:pStyle w:val="ListParagraph"/>
        <w:numPr>
          <w:ilvl w:val="1"/>
          <w:numId w:val="1"/>
        </w:numPr>
        <w:kinsoku w:val="0"/>
        <w:overflowPunct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b/>
          <w:bCs/>
        </w:rPr>
      </w:pPr>
      <w:r w:rsidRPr="00E808BE">
        <w:rPr>
          <w:rFonts w:ascii="Times New Roman" w:hAnsi="Times New Roman" w:cs="Times New Roman"/>
          <w:b/>
          <w:bCs/>
        </w:rPr>
        <w:t>Level 3 Project.</w:t>
      </w:r>
    </w:p>
    <w:p w14:paraId="7D3913A0" w14:textId="77777777" w:rsidR="003A0A4E" w:rsidRDefault="00E808BE" w:rsidP="003A0A4E">
      <w:pPr>
        <w:pStyle w:val="ListParagraph"/>
        <w:numPr>
          <w:ilvl w:val="2"/>
          <w:numId w:val="1"/>
        </w:numPr>
        <w:kinsoku w:val="0"/>
        <w:overflowPunct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b/>
          <w:bCs/>
        </w:rPr>
      </w:pPr>
      <w:r w:rsidRPr="003A0A4E">
        <w:rPr>
          <w:rFonts w:ascii="Times New Roman" w:hAnsi="Times New Roman" w:cs="Times New Roman"/>
          <w:b/>
          <w:bCs/>
        </w:rPr>
        <w:t>Level 3 – Contracts for more than $5,000,000</w:t>
      </w:r>
    </w:p>
    <w:p w14:paraId="37A4CED1" w14:textId="77777777" w:rsidR="003A0A4E" w:rsidRDefault="00E808BE" w:rsidP="006E5A98">
      <w:pPr>
        <w:pStyle w:val="ListParagraph"/>
        <w:numPr>
          <w:ilvl w:val="3"/>
          <w:numId w:val="3"/>
        </w:numPr>
        <w:kinsoku w:val="0"/>
        <w:overflowPunct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b/>
          <w:bCs/>
        </w:rPr>
      </w:pPr>
      <w:r w:rsidRPr="003A0A4E">
        <w:rPr>
          <w:rFonts w:ascii="Times New Roman" w:hAnsi="Times New Roman" w:cs="Times New Roman"/>
          <w:b/>
          <w:bCs/>
        </w:rPr>
        <w:t>Applicants have prequalified in FUSD’s Quality Bidders at least 7 days prior to bid</w:t>
      </w:r>
    </w:p>
    <w:p w14:paraId="0FF2371D" w14:textId="56630AD6" w:rsidR="003A0A4E" w:rsidRDefault="00E808BE" w:rsidP="006E5A98">
      <w:pPr>
        <w:pStyle w:val="ListParagraph"/>
        <w:numPr>
          <w:ilvl w:val="3"/>
          <w:numId w:val="3"/>
        </w:numPr>
        <w:kinsoku w:val="0"/>
        <w:overflowPunct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b/>
          <w:bCs/>
        </w:rPr>
      </w:pPr>
      <w:r w:rsidRPr="003A0A4E">
        <w:rPr>
          <w:rFonts w:ascii="Times New Roman" w:hAnsi="Times New Roman" w:cs="Times New Roman"/>
          <w:b/>
          <w:bCs/>
        </w:rPr>
        <w:t xml:space="preserve">Within the past 5 years, </w:t>
      </w:r>
      <w:r w:rsidR="006E5A98" w:rsidRPr="003A0A4E">
        <w:rPr>
          <w:rFonts w:ascii="Times New Roman" w:hAnsi="Times New Roman" w:cs="Times New Roman"/>
          <w:b/>
          <w:bCs/>
        </w:rPr>
        <w:t>the contractor</w:t>
      </w:r>
      <w:r w:rsidRPr="003A0A4E">
        <w:rPr>
          <w:rFonts w:ascii="Times New Roman" w:hAnsi="Times New Roman" w:cs="Times New Roman"/>
          <w:b/>
          <w:bCs/>
        </w:rPr>
        <w:t xml:space="preserve"> has completed at least 3 public works contracts with a cumulative total of at least $10,000,000.</w:t>
      </w:r>
    </w:p>
    <w:p w14:paraId="048010E6" w14:textId="3539B641" w:rsidR="003A0A4E" w:rsidRPr="00B17809" w:rsidRDefault="00E808BE" w:rsidP="006E5A98">
      <w:pPr>
        <w:pStyle w:val="ListParagraph"/>
        <w:numPr>
          <w:ilvl w:val="3"/>
          <w:numId w:val="3"/>
        </w:numPr>
        <w:kinsoku w:val="0"/>
        <w:overflowPunct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b/>
          <w:bCs/>
          <w:i/>
          <w:iCs/>
          <w:highlight w:val="yellow"/>
        </w:rPr>
      </w:pPr>
      <w:r w:rsidRPr="003A0A4E">
        <w:rPr>
          <w:rFonts w:ascii="Times New Roman" w:hAnsi="Times New Roman" w:cs="Times New Roman"/>
          <w:b/>
          <w:bCs/>
        </w:rPr>
        <w:t>Within the</w:t>
      </w:r>
      <w:r w:rsidR="003A0A4E">
        <w:rPr>
          <w:rFonts w:ascii="Times New Roman" w:hAnsi="Times New Roman" w:cs="Times New Roman"/>
          <w:b/>
          <w:bCs/>
        </w:rPr>
        <w:t xml:space="preserve"> last</w:t>
      </w:r>
      <w:r w:rsidRPr="003A0A4E">
        <w:rPr>
          <w:rFonts w:ascii="Times New Roman" w:hAnsi="Times New Roman" w:cs="Times New Roman"/>
          <w:b/>
          <w:bCs/>
        </w:rPr>
        <w:t xml:space="preserve"> 5 years, </w:t>
      </w:r>
      <w:r w:rsidR="003A0A4E" w:rsidRPr="003A0A4E">
        <w:rPr>
          <w:rFonts w:ascii="Times New Roman" w:hAnsi="Times New Roman" w:cs="Times New Roman"/>
          <w:b/>
          <w:bCs/>
        </w:rPr>
        <w:t>the contractor</w:t>
      </w:r>
      <w:r w:rsidRPr="003A0A4E">
        <w:rPr>
          <w:rFonts w:ascii="Times New Roman" w:hAnsi="Times New Roman" w:cs="Times New Roman"/>
          <w:b/>
          <w:bCs/>
        </w:rPr>
        <w:t xml:space="preserve"> has completed a single school project similar to the project currently being bid.</w:t>
      </w:r>
      <w:r w:rsidR="003A0A4E">
        <w:rPr>
          <w:rFonts w:ascii="Times New Roman" w:hAnsi="Times New Roman" w:cs="Times New Roman"/>
          <w:b/>
          <w:bCs/>
        </w:rPr>
        <w:t xml:space="preserve"> </w:t>
      </w:r>
      <w:r w:rsidR="003A0A4E" w:rsidRPr="00B17809">
        <w:rPr>
          <w:rFonts w:ascii="Times New Roman" w:hAnsi="Times New Roman" w:cs="Times New Roman"/>
          <w:b/>
          <w:bCs/>
          <w:i/>
          <w:iCs/>
          <w:highlight w:val="yellow"/>
        </w:rPr>
        <w:t>“A similar project” is defined as a School project which involved the construction of a new Athletic complex, Sports building or Gym building with a project cost of $24m or greater.</w:t>
      </w:r>
    </w:p>
    <w:p w14:paraId="591BE51B" w14:textId="2BB917B4" w:rsidR="00E808BE" w:rsidRPr="006E5A98" w:rsidRDefault="003A0A4E" w:rsidP="006E5A98">
      <w:pPr>
        <w:pStyle w:val="ListParagraph"/>
        <w:numPr>
          <w:ilvl w:val="3"/>
          <w:numId w:val="3"/>
        </w:numPr>
        <w:kinsoku w:val="0"/>
        <w:overflowPunct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b/>
          <w:bCs/>
        </w:rPr>
      </w:pPr>
      <w:r w:rsidRPr="00B17809">
        <w:rPr>
          <w:rFonts w:ascii="Times New Roman" w:hAnsi="Times New Roman" w:cs="Times New Roman"/>
          <w:b/>
          <w:bCs/>
          <w:i/>
          <w:iCs/>
          <w:highlight w:val="yellow"/>
        </w:rPr>
        <w:t>If all of the above requirements are met,</w:t>
      </w:r>
      <w:r>
        <w:rPr>
          <w:rFonts w:ascii="Times New Roman" w:hAnsi="Times New Roman" w:cs="Times New Roman"/>
          <w:b/>
          <w:bCs/>
        </w:rPr>
        <w:t xml:space="preserve"> the </w:t>
      </w:r>
      <w:r w:rsidR="00E808BE" w:rsidRPr="003A0A4E">
        <w:rPr>
          <w:rFonts w:ascii="Times New Roman" w:hAnsi="Times New Roman" w:cs="Times New Roman"/>
          <w:b/>
          <w:bCs/>
        </w:rPr>
        <w:t>Applicant’s actual bid limit will be based on the applicant’s single project bond limit as specified in their letter of bond ability.</w:t>
      </w:r>
    </w:p>
    <w:p w14:paraId="49A49822" w14:textId="0E464D44" w:rsidR="00EF3676" w:rsidRDefault="00D03FC2" w:rsidP="003A0A4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Clarification to</w:t>
      </w:r>
      <w:r w:rsidR="003A0A4E">
        <w:rPr>
          <w:sz w:val="24"/>
          <w:szCs w:val="24"/>
        </w:rPr>
        <w:t xml:space="preserve"> </w:t>
      </w:r>
      <w:r w:rsidR="005E11B1" w:rsidRPr="00E808BE">
        <w:rPr>
          <w:sz w:val="24"/>
          <w:szCs w:val="24"/>
        </w:rPr>
        <w:t xml:space="preserve">MEP </w:t>
      </w:r>
      <w:r w:rsidR="00B17809" w:rsidRPr="00E808BE">
        <w:rPr>
          <w:sz w:val="24"/>
          <w:szCs w:val="24"/>
        </w:rPr>
        <w:t>subcontractors’</w:t>
      </w:r>
      <w:r>
        <w:rPr>
          <w:sz w:val="24"/>
          <w:szCs w:val="24"/>
        </w:rPr>
        <w:t xml:space="preserve"> qualifications</w:t>
      </w:r>
      <w:r w:rsidR="00E808BE">
        <w:rPr>
          <w:sz w:val="24"/>
          <w:szCs w:val="24"/>
        </w:rPr>
        <w:t xml:space="preserve"> as follows:</w:t>
      </w:r>
    </w:p>
    <w:p w14:paraId="00ABDAF7" w14:textId="088D2538" w:rsidR="00AF773F" w:rsidRPr="006E5A98" w:rsidRDefault="00D03FC2" w:rsidP="00EF3676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  <w:highlight w:val="yellow"/>
        </w:rPr>
      </w:pPr>
      <w:r>
        <w:rPr>
          <w:b/>
          <w:bCs/>
        </w:rPr>
        <w:t>This Project includes work that will be performed by mechanical, electrical or plumbing (“MEP”) subcontractors (contractors that hold C-4, C-7, C-10, C-16, C-20, C-34, C-36, C-38, C-42, C-43 or C-46 licenses). These subcontractors must also be prequalified</w:t>
      </w:r>
      <w:r w:rsidR="00B17809">
        <w:rPr>
          <w:b/>
          <w:bCs/>
        </w:rPr>
        <w:t xml:space="preserve"> </w:t>
      </w:r>
      <w:r w:rsidR="00B17809" w:rsidRPr="00B17809">
        <w:rPr>
          <w:b/>
          <w:bCs/>
          <w:i/>
          <w:iCs/>
          <w:highlight w:val="yellow"/>
        </w:rPr>
        <w:t>but are not subject to the limits set for bidding as a prime contractor</w:t>
      </w:r>
      <w:r w:rsidRPr="00B17809">
        <w:rPr>
          <w:b/>
          <w:bCs/>
          <w:i/>
          <w:iCs/>
          <w:highlight w:val="yellow"/>
        </w:rPr>
        <w:t>.</w:t>
      </w:r>
      <w:r w:rsidR="00B17809" w:rsidRPr="00B17809">
        <w:rPr>
          <w:b/>
          <w:bCs/>
          <w:i/>
          <w:iCs/>
          <w:highlight w:val="yellow"/>
        </w:rPr>
        <w:t xml:space="preserve"> Only the Prime contractor is subject to the pre-qualification limits for Level 3 project.</w:t>
      </w:r>
    </w:p>
    <w:p w14:paraId="38076EBA" w14:textId="77777777" w:rsidR="00EF719D" w:rsidRDefault="00B17809" w:rsidP="00B1780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bookmarkStart w:id="0" w:name="_Hlk189211675"/>
      <w:r>
        <w:rPr>
          <w:sz w:val="24"/>
          <w:szCs w:val="24"/>
        </w:rPr>
        <w:t>For all substitutions</w:t>
      </w:r>
      <w:r w:rsidR="00EF719D">
        <w:rPr>
          <w:sz w:val="24"/>
          <w:szCs w:val="24"/>
        </w:rPr>
        <w:t>:</w:t>
      </w:r>
    </w:p>
    <w:p w14:paraId="69C6EC95" w14:textId="1D82BE37" w:rsidR="00AF773F" w:rsidRDefault="00EF719D" w:rsidP="00EF719D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Substitution request must </w:t>
      </w:r>
      <w:r w:rsidR="002256DE">
        <w:rPr>
          <w:sz w:val="24"/>
          <w:szCs w:val="24"/>
        </w:rPr>
        <w:t>be submitted</w:t>
      </w:r>
      <w:r>
        <w:rPr>
          <w:sz w:val="24"/>
          <w:szCs w:val="24"/>
        </w:rPr>
        <w:t xml:space="preserve"> directly </w:t>
      </w:r>
      <w:r w:rsidR="002256DE">
        <w:rPr>
          <w:sz w:val="24"/>
          <w:szCs w:val="24"/>
        </w:rPr>
        <w:t xml:space="preserve">by </w:t>
      </w:r>
      <w:r>
        <w:rPr>
          <w:sz w:val="24"/>
          <w:szCs w:val="24"/>
        </w:rPr>
        <w:t>the Prime bidder and not the Subcontractor. Please refer to Section 19 – Instruction to bidders</w:t>
      </w:r>
      <w:r w:rsidR="00B17809">
        <w:rPr>
          <w:sz w:val="24"/>
          <w:szCs w:val="24"/>
        </w:rPr>
        <w:t>.</w:t>
      </w:r>
    </w:p>
    <w:p w14:paraId="72D797D0" w14:textId="24F946DF" w:rsidR="00EF719D" w:rsidRDefault="00EF719D" w:rsidP="00EF719D">
      <w:pPr>
        <w:pStyle w:val="ListParagraph"/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>
        <w:t>Any request for substitutions</w:t>
      </w:r>
      <w:r w:rsidR="00BF0B71">
        <w:t>,</w:t>
      </w:r>
      <w:r>
        <w:t xml:space="preserve"> pursuant to Public Contract Code section 3400</w:t>
      </w:r>
      <w:r w:rsidR="00BF0B71">
        <w:t>,</w:t>
      </w:r>
      <w:r>
        <w:t xml:space="preserve"> must be </w:t>
      </w:r>
      <w:r>
        <w:t>submitted</w:t>
      </w:r>
      <w:r>
        <w:t xml:space="preserve"> at the time of Bid on the Substitution Request Form</w:t>
      </w:r>
      <w:r w:rsidR="002256DE">
        <w:t xml:space="preserve"> as</w:t>
      </w:r>
      <w:r>
        <w:t xml:space="preserve"> set forth in the Contract Documents </w:t>
      </w:r>
      <w:r>
        <w:t>– Instruction to bidders. Substitution</w:t>
      </w:r>
      <w:r w:rsidR="002256DE">
        <w:t>s</w:t>
      </w:r>
      <w:r>
        <w:t xml:space="preserve"> must </w:t>
      </w:r>
      <w:r w:rsidR="002256DE">
        <w:t xml:space="preserve">also </w:t>
      </w:r>
      <w:r>
        <w:t xml:space="preserve">follow the </w:t>
      </w:r>
      <w:r w:rsidR="002256DE">
        <w:t xml:space="preserve">requirements of Section 01 63 00. All substitution requests are to be </w:t>
      </w:r>
      <w:r>
        <w:t xml:space="preserve">included </w:t>
      </w:r>
      <w:r>
        <w:t>with the bid.</w:t>
      </w:r>
    </w:p>
    <w:bookmarkEnd w:id="0"/>
    <w:p w14:paraId="70FB5534" w14:textId="1DDF2695" w:rsidR="00AF773F" w:rsidRPr="006E5A98" w:rsidRDefault="00B17809" w:rsidP="00EF367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See the attached RFI responses.</w:t>
      </w:r>
    </w:p>
    <w:p w14:paraId="361343AD" w14:textId="77777777" w:rsidR="00AF773F" w:rsidRDefault="00AF773F" w:rsidP="00EF3676">
      <w:pPr>
        <w:spacing w:after="0" w:line="240" w:lineRule="auto"/>
        <w:rPr>
          <w:sz w:val="24"/>
          <w:szCs w:val="24"/>
        </w:rPr>
      </w:pPr>
    </w:p>
    <w:p w14:paraId="5943281C" w14:textId="79947D26" w:rsidR="00B1370A" w:rsidRDefault="00B1370A" w:rsidP="00EF3676">
      <w:pPr>
        <w:spacing w:after="0" w:line="240" w:lineRule="auto"/>
        <w:rPr>
          <w:b/>
          <w:sz w:val="24"/>
          <w:szCs w:val="24"/>
        </w:rPr>
      </w:pPr>
      <w:r w:rsidRPr="00B1370A">
        <w:rPr>
          <w:b/>
          <w:sz w:val="24"/>
          <w:szCs w:val="24"/>
        </w:rPr>
        <w:t>Attachments:</w:t>
      </w:r>
      <w:r w:rsidR="00B17809">
        <w:rPr>
          <w:b/>
          <w:sz w:val="24"/>
          <w:szCs w:val="24"/>
        </w:rPr>
        <w:t xml:space="preserve"> RFI responses</w:t>
      </w:r>
    </w:p>
    <w:p w14:paraId="2A9F2225" w14:textId="12EA54E1" w:rsidR="00DD138B" w:rsidRPr="006E5A98" w:rsidRDefault="00B1370A" w:rsidP="006E5A98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F773F">
        <w:rPr>
          <w:b/>
          <w:sz w:val="24"/>
          <w:szCs w:val="24"/>
        </w:rPr>
        <w:tab/>
      </w:r>
    </w:p>
    <w:p w14:paraId="1C7F422A" w14:textId="10930882" w:rsidR="00F05C07" w:rsidRPr="00F05C07" w:rsidRDefault="00F05C07" w:rsidP="00F05C0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END OF ADDENDUM #</w:t>
      </w:r>
      <w:r w:rsidR="00B17809">
        <w:rPr>
          <w:b/>
          <w:sz w:val="24"/>
          <w:szCs w:val="24"/>
        </w:rPr>
        <w:t>2</w:t>
      </w:r>
    </w:p>
    <w:sectPr w:rsidR="00F05C07" w:rsidRPr="00F05C07" w:rsidSect="00B1370A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FFFFFFFF"/>
    <w:lvl w:ilvl="0">
      <w:numFmt w:val="bullet"/>
      <w:lvlText w:val="o"/>
      <w:lvlJc w:val="left"/>
      <w:pPr>
        <w:ind w:left="1820" w:hanging="361"/>
      </w:pPr>
      <w:rPr>
        <w:rFonts w:ascii="Courier New" w:hAnsi="Courier New" w:cs="Courier New"/>
        <w:b w:val="0"/>
        <w:bCs w:val="0"/>
        <w:i w:val="0"/>
        <w:i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2622" w:hanging="361"/>
      </w:pPr>
    </w:lvl>
    <w:lvl w:ilvl="2">
      <w:numFmt w:val="bullet"/>
      <w:lvlText w:val="•"/>
      <w:lvlJc w:val="left"/>
      <w:pPr>
        <w:ind w:left="3424" w:hanging="361"/>
      </w:pPr>
    </w:lvl>
    <w:lvl w:ilvl="3">
      <w:numFmt w:val="bullet"/>
      <w:lvlText w:val="•"/>
      <w:lvlJc w:val="left"/>
      <w:pPr>
        <w:ind w:left="4226" w:hanging="361"/>
      </w:pPr>
    </w:lvl>
    <w:lvl w:ilvl="4">
      <w:numFmt w:val="bullet"/>
      <w:lvlText w:val="•"/>
      <w:lvlJc w:val="left"/>
      <w:pPr>
        <w:ind w:left="5028" w:hanging="361"/>
      </w:pPr>
    </w:lvl>
    <w:lvl w:ilvl="5">
      <w:numFmt w:val="bullet"/>
      <w:lvlText w:val="•"/>
      <w:lvlJc w:val="left"/>
      <w:pPr>
        <w:ind w:left="5830" w:hanging="361"/>
      </w:pPr>
    </w:lvl>
    <w:lvl w:ilvl="6">
      <w:numFmt w:val="bullet"/>
      <w:lvlText w:val="•"/>
      <w:lvlJc w:val="left"/>
      <w:pPr>
        <w:ind w:left="6632" w:hanging="361"/>
      </w:pPr>
    </w:lvl>
    <w:lvl w:ilvl="7">
      <w:numFmt w:val="bullet"/>
      <w:lvlText w:val="•"/>
      <w:lvlJc w:val="left"/>
      <w:pPr>
        <w:ind w:left="7434" w:hanging="361"/>
      </w:pPr>
    </w:lvl>
    <w:lvl w:ilvl="8">
      <w:numFmt w:val="bullet"/>
      <w:lvlText w:val="•"/>
      <w:lvlJc w:val="left"/>
      <w:pPr>
        <w:ind w:left="8236" w:hanging="361"/>
      </w:pPr>
    </w:lvl>
  </w:abstractNum>
  <w:abstractNum w:abstractNumId="1" w15:restartNumberingAfterBreak="0">
    <w:nsid w:val="03C544D0"/>
    <w:multiLevelType w:val="hybridMultilevel"/>
    <w:tmpl w:val="E0D03E3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753E"/>
    <w:multiLevelType w:val="hybridMultilevel"/>
    <w:tmpl w:val="AA9E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311307">
    <w:abstractNumId w:val="2"/>
  </w:num>
  <w:num w:numId="2" w16cid:durableId="1672246915">
    <w:abstractNumId w:val="0"/>
  </w:num>
  <w:num w:numId="3" w16cid:durableId="530455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676"/>
    <w:rsid w:val="000E59B7"/>
    <w:rsid w:val="002256DE"/>
    <w:rsid w:val="0026195D"/>
    <w:rsid w:val="0033289B"/>
    <w:rsid w:val="0034072B"/>
    <w:rsid w:val="003A0A4E"/>
    <w:rsid w:val="0046562E"/>
    <w:rsid w:val="00566922"/>
    <w:rsid w:val="005E11B1"/>
    <w:rsid w:val="006E5A98"/>
    <w:rsid w:val="0076092B"/>
    <w:rsid w:val="007A429F"/>
    <w:rsid w:val="007B2035"/>
    <w:rsid w:val="00A2489A"/>
    <w:rsid w:val="00A94476"/>
    <w:rsid w:val="00AF773F"/>
    <w:rsid w:val="00B00C16"/>
    <w:rsid w:val="00B1370A"/>
    <w:rsid w:val="00B17809"/>
    <w:rsid w:val="00B1785A"/>
    <w:rsid w:val="00B91D52"/>
    <w:rsid w:val="00BF0B71"/>
    <w:rsid w:val="00C13ADD"/>
    <w:rsid w:val="00C53DA4"/>
    <w:rsid w:val="00CB0D67"/>
    <w:rsid w:val="00D03FC2"/>
    <w:rsid w:val="00DD138B"/>
    <w:rsid w:val="00E034CB"/>
    <w:rsid w:val="00E808BE"/>
    <w:rsid w:val="00EF3676"/>
    <w:rsid w:val="00EF719D"/>
    <w:rsid w:val="00F0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57961"/>
  <w15:chartTrackingRefBased/>
  <w15:docId w15:val="{2711FE43-3CAC-4709-B01B-1731BD67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3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1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95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3289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08BE"/>
    <w:pPr>
      <w:ind w:left="720"/>
      <w:contextualSpacing/>
    </w:pPr>
  </w:style>
  <w:style w:type="paragraph" w:customStyle="1" w:styleId="Default">
    <w:name w:val="Default"/>
    <w:rsid w:val="002256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Fillmore Unified School District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Cole</dc:creator>
  <cp:keywords/>
  <dc:description/>
  <cp:lastModifiedBy>RJ Stump</cp:lastModifiedBy>
  <cp:revision>3</cp:revision>
  <cp:lastPrinted>2025-01-28T23:57:00Z</cp:lastPrinted>
  <dcterms:created xsi:type="dcterms:W3CDTF">2025-01-31T19:01:00Z</dcterms:created>
  <dcterms:modified xsi:type="dcterms:W3CDTF">2025-01-31T19:01:00Z</dcterms:modified>
</cp:coreProperties>
</file>